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1C3C" w14:textId="77777777" w:rsidR="003F4F06" w:rsidRDefault="003F4F06">
      <w:r>
        <w:rPr>
          <w:noProof/>
        </w:rPr>
        <w:drawing>
          <wp:anchor distT="0" distB="0" distL="114300" distR="114300" simplePos="0" relativeHeight="251662336" behindDoc="0" locked="1" layoutInCell="1" allowOverlap="1" wp14:anchorId="2504A088" wp14:editId="3D8F44B1">
            <wp:simplePos x="0" y="0"/>
            <wp:positionH relativeFrom="margin">
              <wp:posOffset>2472690</wp:posOffset>
            </wp:positionH>
            <wp:positionV relativeFrom="margin">
              <wp:align>top</wp:align>
            </wp:positionV>
            <wp:extent cx="848995" cy="946150"/>
            <wp:effectExtent l="0" t="0" r="8255" b="6350"/>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838" cy="953582"/>
                    </a:xfrm>
                    <a:prstGeom prst="rect">
                      <a:avLst/>
                    </a:prstGeom>
                    <a:noFill/>
                  </pic:spPr>
                </pic:pic>
              </a:graphicData>
            </a:graphic>
            <wp14:sizeRelH relativeFrom="margin">
              <wp14:pctWidth>0</wp14:pctWidth>
            </wp14:sizeRelH>
            <wp14:sizeRelV relativeFrom="margin">
              <wp14:pctHeight>0</wp14:pctHeight>
            </wp14:sizeRelV>
          </wp:anchor>
        </w:drawing>
      </w:r>
    </w:p>
    <w:p w14:paraId="086007C3" w14:textId="77777777" w:rsidR="003F4F06" w:rsidRDefault="003F4F06"/>
    <w:p w14:paraId="67166EC6" w14:textId="77777777" w:rsidR="003F4F06" w:rsidRDefault="003F4F06"/>
    <w:p w14:paraId="62A47ED7" w14:textId="77777777" w:rsidR="003F4F06" w:rsidRDefault="003F4F06"/>
    <w:p w14:paraId="5BA2E0EF" w14:textId="77777777" w:rsidR="003F4F06" w:rsidRDefault="003F4F06"/>
    <w:p w14:paraId="129C2112" w14:textId="77777777" w:rsidR="00525042" w:rsidRDefault="00525042"/>
    <w:p w14:paraId="0AAD66C4" w14:textId="77777777" w:rsidR="003F4F06" w:rsidRPr="007B0BA4" w:rsidRDefault="003F4F06" w:rsidP="003F4F06">
      <w:pPr>
        <w:pStyle w:val="Pealkiri1"/>
        <w:spacing w:before="120"/>
        <w:rPr>
          <w:color w:val="009900"/>
        </w:rPr>
      </w:pPr>
      <w:bookmarkStart w:id="0" w:name="_Hlk31219819"/>
      <w:r w:rsidRPr="007B0BA4">
        <w:rPr>
          <w:color w:val="009900"/>
        </w:rPr>
        <w:t>VALGA VALLAVALITSUS</w:t>
      </w:r>
    </w:p>
    <w:bookmarkEnd w:id="0"/>
    <w:p w14:paraId="394C1BA9" w14:textId="77777777" w:rsidR="00C80346" w:rsidRDefault="00C80346"/>
    <w:p w14:paraId="37CDED8C" w14:textId="77777777" w:rsidR="003F4F06" w:rsidRDefault="003F4F06">
      <w:pPr>
        <w:sectPr w:rsidR="003F4F06" w:rsidSect="00DC7CFC">
          <w:footerReference w:type="default" r:id="rId9"/>
          <w:pgSz w:w="11906" w:h="16838"/>
          <w:pgMar w:top="680" w:right="851" w:bottom="680" w:left="1701" w:header="567" w:footer="567" w:gutter="0"/>
          <w:cols w:space="708"/>
          <w:docGrid w:linePitch="360"/>
        </w:sectPr>
      </w:pPr>
    </w:p>
    <w:p w14:paraId="721EF4D0" w14:textId="0B4A09BD" w:rsidR="005C1F7C" w:rsidRDefault="003820E7" w:rsidP="00582F54">
      <w:pPr>
        <w:pStyle w:val="Adressaat"/>
        <w:tabs>
          <w:tab w:val="left" w:pos="5103"/>
        </w:tabs>
      </w:pPr>
      <w:r>
        <w:t xml:space="preserve">Planeeringu koostamisse </w:t>
      </w:r>
      <w:r w:rsidR="00EF4DAC">
        <w:t>kaasatavad</w:t>
      </w:r>
      <w:r>
        <w:t xml:space="preserve"> </w:t>
      </w:r>
      <w:r w:rsidR="00B72F02">
        <w:tab/>
      </w:r>
    </w:p>
    <w:p w14:paraId="28A2D16A" w14:textId="16E4295D" w:rsidR="00CF6A6A" w:rsidRDefault="000B1C8A" w:rsidP="00090ED0">
      <w:pPr>
        <w:pStyle w:val="Asutus"/>
      </w:pPr>
      <w:r>
        <w:t xml:space="preserve">valitsusasutused </w:t>
      </w:r>
      <w:r w:rsidR="003820E7">
        <w:t>nimekirja alusel</w:t>
      </w:r>
    </w:p>
    <w:p w14:paraId="0948A11C" w14:textId="249881DB" w:rsidR="00CF6A6A" w:rsidRDefault="00B72F02" w:rsidP="00442408">
      <w:pPr>
        <w:pStyle w:val="Aadress"/>
        <w:tabs>
          <w:tab w:val="left" w:pos="5103"/>
        </w:tabs>
      </w:pPr>
      <w:r>
        <w:tab/>
      </w:r>
      <w:r w:rsidR="00974F1D">
        <w:t>Meie</w:t>
      </w:r>
      <w:r w:rsidR="00582F54">
        <w:t xml:space="preserve"> kuupäev digiallkirjas nr </w:t>
      </w:r>
      <w:r w:rsidR="00C0296F" w:rsidRPr="00C0296F">
        <w:t>9-1.3/</w:t>
      </w:r>
      <w:r w:rsidR="00830690">
        <w:t>4816</w:t>
      </w:r>
    </w:p>
    <w:p w14:paraId="42595B3B" w14:textId="78A5B70C" w:rsidR="000F2096" w:rsidRDefault="00B35FC8" w:rsidP="00CF6A6A">
      <w:pPr>
        <w:pStyle w:val="PealkiriKIRI"/>
      </w:pPr>
      <w:r>
        <w:t>Valga valla tuulepargi eriplaneeringu asukoha eelvaliku otsuse eelnõu ja keskkonnamõju strateegilise hindamise esimese etapi aruande</w:t>
      </w:r>
      <w:r w:rsidR="000B1C8A">
        <w:t>le kooskõlastuse küsimine</w:t>
      </w:r>
    </w:p>
    <w:p w14:paraId="790DB8C7" w14:textId="03ED77E6" w:rsidR="00CF6A6A" w:rsidRDefault="007B3E0C" w:rsidP="005363D4">
      <w:pPr>
        <w:pStyle w:val="Prdumine"/>
      </w:pPr>
      <w:r>
        <w:t xml:space="preserve">Austatud </w:t>
      </w:r>
      <w:r w:rsidR="000B1C8A">
        <w:t>valitsusasutuse esindaja</w:t>
      </w:r>
    </w:p>
    <w:p w14:paraId="28846DBD" w14:textId="48E22CB6" w:rsidR="000B1C8A" w:rsidRDefault="000B1C8A" w:rsidP="00B14E8D">
      <w:pPr>
        <w:pStyle w:val="KIRJATEKST"/>
        <w:jc w:val="both"/>
      </w:pPr>
      <w:r>
        <w:t>Oleme Teid kaasanud Valga valla tuulepar</w:t>
      </w:r>
      <w:r w:rsidR="00E27C7C">
        <w:t>gi</w:t>
      </w:r>
      <w:r>
        <w:t xml:space="preserve"> eriplaneeringu ja keskkonnamõju strateegilise hindamise menetlusse lähtudes planeerimisseaduse § 99 lõikest 1. Meie hinnangul käsitletakse kohaliku omavalitsuse eriplaneeringuga Teie valitsemisalas olevaid küsimusi või planeeringu lahendus puudutab Teie tegevusvaldkonda. </w:t>
      </w:r>
    </w:p>
    <w:p w14:paraId="4605E2B3" w14:textId="2DD2A735" w:rsidR="008B2AFF" w:rsidRDefault="00E27C7C" w:rsidP="00B14E8D">
      <w:pPr>
        <w:pStyle w:val="KIRJATEKST"/>
        <w:jc w:val="both"/>
      </w:pPr>
      <w:r>
        <w:t xml:space="preserve">Tuginedes planeerimisseaduse § 105 lõikele 1 esitame Teile kooskõlastamiseks </w:t>
      </w:r>
      <w:r w:rsidR="008B2AFF">
        <w:t>valminud Valga valla tuulepargi eriplaneeringu asukoha eelvaliku otsuse (edaspidi EP) eelnõu ja keskkonnamõju strateegilise hindamise (edaspidi KSH) esimese etapi aruan</w:t>
      </w:r>
      <w:r>
        <w:t>de.</w:t>
      </w:r>
      <w:r w:rsidR="00B74FAB">
        <w:t xml:space="preserve"> </w:t>
      </w:r>
    </w:p>
    <w:p w14:paraId="59CEF0BC" w14:textId="7A6EBF9E" w:rsidR="008B2AFF" w:rsidRDefault="00CE6782" w:rsidP="00B14E8D">
      <w:pPr>
        <w:pStyle w:val="KIRJATEKST"/>
        <w:jc w:val="both"/>
      </w:pPr>
      <w:r>
        <w:t>EP eelnõu ja KSH esimese etapi aruanne ning juurde kuuluvad</w:t>
      </w:r>
      <w:r w:rsidR="00BC3A58">
        <w:t xml:space="preserve"> materjalid on avaldatud Valga valla veebilehel </w:t>
      </w:r>
      <w:hyperlink r:id="rId10" w:history="1">
        <w:r w:rsidR="005355D5" w:rsidRPr="00812F94">
          <w:rPr>
            <w:rStyle w:val="Hperlink"/>
          </w:rPr>
          <w:t>https://www.valga.ee/tuulepargi-eriplaneering</w:t>
        </w:r>
      </w:hyperlink>
      <w:r>
        <w:t>.</w:t>
      </w:r>
    </w:p>
    <w:p w14:paraId="6899BF94" w14:textId="2D8698A9" w:rsidR="00181AB9" w:rsidRDefault="00E35218" w:rsidP="00B14E8D">
      <w:pPr>
        <w:pStyle w:val="KIRJATEKST"/>
        <w:jc w:val="both"/>
      </w:pPr>
      <w:r>
        <w:t>Valga Vallavolikogu poolt 25.10.2023 algatatud EPd ja KSHd asuti koostama täpsusastmes, mis võimaldab selle kehtestamist asukoha eelvaliku otsuse alusel. Lähtudes planeerimisseaduse § 95</w:t>
      </w:r>
      <w:r>
        <w:rPr>
          <w:vertAlign w:val="superscript"/>
        </w:rPr>
        <w:t>1</w:t>
      </w:r>
      <w:r>
        <w:t xml:space="preserve"> lõikest 1 võib kohalik omavalitsus eriplaneeringu koostamisel loobuda detailse lahenduse koostamisest ja kehtestada planeering asukoha eelvaliku otsuse alusel, kui puuduvad välistavad tegurid tuulepargi edasiseks kavandamiseks projekteerimistingimustega ning eelvaliku otsuses on toodud projekteerimistingimuste andmise aluseks olevad tingimused. EP ja KSH </w:t>
      </w:r>
      <w:r w:rsidR="008D1CAB">
        <w:t xml:space="preserve">koostamisel jõuti veendumisele, et rakendades planeeringus esitatud leevendavaid meetmeid puudub oluline ebasoodne keskkonnamõju kogu planeeringuala ulatuses, kui ehitada tuulikud eelvaliku alade TU2, TU3 ja TU4 põhimõttelistesse asukohtadesse. EPga on seatud tuulikute edasiseks kavandamiseks tingimused projekteerimistingimuste andmiseks. </w:t>
      </w:r>
      <w:r w:rsidR="00074F15">
        <w:t xml:space="preserve">Sellest lähtuvalt soovime, et planeeringu kooskõlastamisele lähtuksite meie soovist loobuda EP detailse lahenduse koostamisest ja kehtestada EP asukoha eelvaliku otsuse alusel. </w:t>
      </w:r>
    </w:p>
    <w:p w14:paraId="23B62C71" w14:textId="3185B562" w:rsidR="00074F15" w:rsidRPr="00E35218" w:rsidRDefault="00074F15" w:rsidP="00B14E8D">
      <w:pPr>
        <w:pStyle w:val="KIRJATEKST"/>
        <w:jc w:val="both"/>
      </w:pPr>
      <w:r>
        <w:lastRenderedPageBreak/>
        <w:t>Tuginedes planeerimisseaduse § 105 lõikele 2 märgime, et kui kooskõlastaja ei ole 30 päeva jooksul EP otsuse eelnõu ja KSH esimese etapi aruande saamisest arvestades kooskõlastamisest keeldunud ega ole taotlenud tähtaja pikendamist, siis loetakse EP otsuse eelnõu ja KSH esimese etapi aruanne kooskõlastaja poolt vaikimisi kooskõlastatuks.</w:t>
      </w:r>
    </w:p>
    <w:p w14:paraId="1269B9AD" w14:textId="7E491901" w:rsidR="00C129E6" w:rsidRPr="005F6B9A" w:rsidRDefault="00C129E6" w:rsidP="00C129E6">
      <w:pPr>
        <w:pStyle w:val="KIRJATEKST"/>
        <w:jc w:val="both"/>
      </w:pPr>
      <w:r w:rsidRPr="005F6B9A">
        <w:t xml:space="preserve">Samas juhime </w:t>
      </w:r>
      <w:r w:rsidR="00074F15" w:rsidRPr="005F6B9A">
        <w:t xml:space="preserve">ka Teie </w:t>
      </w:r>
      <w:r w:rsidRPr="005F6B9A">
        <w:t>tähelepanu, et planeeringualal ja kavandatavatest tuulikutest 3 km kaugusele ulatuvas mõjualas paikneb riigi omandisse kuuluvaid kinnisasju, mis võivad kuuluda Teie valitsemisalasse. Seega võib planeering puudutada ka Teie õigusi või huve (planeerimisseaduse § 99 lõige 2 ja 3)</w:t>
      </w:r>
      <w:r w:rsidR="00074F15" w:rsidRPr="005F6B9A">
        <w:t xml:space="preserve"> ning Teil on võimalus ses osas avaldada arvamust. </w:t>
      </w:r>
    </w:p>
    <w:p w14:paraId="181D9395" w14:textId="43206291" w:rsidR="005355D5" w:rsidRPr="00D24370" w:rsidRDefault="005355D5" w:rsidP="00B14E8D">
      <w:pPr>
        <w:pStyle w:val="KIRJATEKST"/>
        <w:jc w:val="both"/>
        <w:rPr>
          <w:b/>
          <w:bCs/>
          <w:u w:val="single"/>
        </w:rPr>
      </w:pPr>
      <w:r w:rsidRPr="00D24370">
        <w:rPr>
          <w:b/>
          <w:bCs/>
          <w:u w:val="single"/>
        </w:rPr>
        <w:t xml:space="preserve">EP </w:t>
      </w:r>
      <w:r w:rsidR="004114FC" w:rsidRPr="00D24370">
        <w:rPr>
          <w:b/>
          <w:bCs/>
          <w:u w:val="single"/>
        </w:rPr>
        <w:t>eelnõu ja KSH aruande sisu lühikokkuvõte</w:t>
      </w:r>
    </w:p>
    <w:p w14:paraId="75DE1851" w14:textId="77777777" w:rsidR="00830690" w:rsidRDefault="00830690" w:rsidP="00830690">
      <w:pPr>
        <w:spacing w:after="120"/>
        <w:mirrorIndents/>
        <w:jc w:val="both"/>
      </w:pPr>
      <w:r>
        <w:t xml:space="preserve">EP koostamise eesmärk on valida tuulepargi ja selle toimimiseks vajaliku taristu püstitamiseks sobivaimad asukohad ning määrata tingimused tuulepargi ja seda teenindava taristu ehitamiseks, hinnates muuhulgas asjakohaseid mõjusid, sh viia läbi keskkonnamõju strateegiline hindamine. </w:t>
      </w:r>
    </w:p>
    <w:p w14:paraId="6457CE5D" w14:textId="77777777" w:rsidR="00830690" w:rsidRDefault="00830690" w:rsidP="00830690">
      <w:pPr>
        <w:spacing w:after="120"/>
        <w:mirrorIndents/>
        <w:jc w:val="both"/>
      </w:pPr>
      <w:r>
        <w:t xml:space="preserve">Eriplaneeringut koostama asudes võeti eesmärgiks koostada planeering sellises täpsusastmes, mis võimaldab selle kehtestamist asukoha eelvaliku otsuse alusel. See on võimalik, kui puuduvad välistavad tegurid tuulepargi edasiseks kavandamiseks projekteerimistingimustega ning eelvaliku otsuses on toodud projekteerimistingimuste andmise aluseks olevad tingimused. </w:t>
      </w:r>
    </w:p>
    <w:p w14:paraId="1794C398" w14:textId="77777777" w:rsidR="00830690" w:rsidRDefault="00830690" w:rsidP="00830690">
      <w:pPr>
        <w:spacing w:after="120"/>
        <w:mirrorIndents/>
        <w:jc w:val="both"/>
      </w:pPr>
      <w:r>
        <w:t xml:space="preserve">EP ja KSH on läbi viidud 7 400 ha suurusel planeeringualal, mis hõlmab enda alla Valga valla Mustumetsa, Killinge, Kiviküla, Uniküla, Õruste, Tõlliste ja Sooru külade osasid. </w:t>
      </w:r>
    </w:p>
    <w:p w14:paraId="412050B8" w14:textId="77777777" w:rsidR="00830690" w:rsidRDefault="00830690" w:rsidP="00830690">
      <w:pPr>
        <w:spacing w:after="120"/>
        <w:mirrorIndents/>
        <w:jc w:val="both"/>
      </w:pPr>
      <w:bookmarkStart w:id="1" w:name="_Hlk182839514"/>
      <w:bookmarkStart w:id="2" w:name="_Hlk182839466"/>
      <w:r>
        <w:t xml:space="preserve">EP koostamise ja KSH hindamise käigus selgitati välja, et tuulepargi rajamiseks on kõige sobivamad alad TU2, TU3 ja TU4 (sobilike alade tekkelugu kirjeldatud EP peatükis 3.1 ja esitletud põhijoonisel). Alale TU1 loobutakse tuulikute kavandamisest linnukaitselistel põhjustel. Eelvaliku aladele TU2, TU3 ja TU4 võib ehitada vastavalt kuus, üheksa ja kaheksa elektrituulikut (kokku kuni 23), millede suurim lubatud tipukõrgus on 270 m. Tuuliku ehitamiseks on eriplaneeringuga määratud põhimõttelised asukohad planeeringu asukoha eelvaliku aladesse. Projekteerimisel on lubatud 50 m ulatuses elektrituuliku asukohta muuta, kuid arvestada tuleb teiste planeeringuga seatud tingimuste täitmisega. Esitatud põhimõttelistes asukohtades on planeering elluviidav. </w:t>
      </w:r>
      <w:bookmarkEnd w:id="1"/>
    </w:p>
    <w:bookmarkEnd w:id="2"/>
    <w:p w14:paraId="0FC58D05" w14:textId="77777777" w:rsidR="00830690" w:rsidRDefault="00830690" w:rsidP="00830690">
      <w:pPr>
        <w:spacing w:after="120"/>
        <w:mirrorIndents/>
        <w:jc w:val="both"/>
      </w:pPr>
      <w:r>
        <w:t xml:space="preserve">Tuulepargi toimimiseks vajaliku taristu kohta on planeeringuga antud ligikaudsed asukohad ja projekteerimisel võib ehitiste asukohti täpsustada lähtudes planeeringuga seatud tingimustest. Tuuleparki teenindavat taristut võib ehitada ka väljaspoole eelvalikuala ja planeeringuala. Planeeringuga antakse põhimõtted tuulepargi liitumisalajaama ja ühendava kaablitrassi rajamiseks. Elektrikaabeliiniga samasse trassikoridori rajatakse sideliin. Tuulikute ehitamiseks ja hilisemaks hoolduseks on vajalikud suure kandevõimega ning pidevalt ligipääsetavad juurdepääsuteed. Planeeringulahenduses on toodud põhimõtteline lahendus juurdepääsuteede kohta algusega avalikult kasutatavalt teelt. Planeeringuga määratakse tingimused tuletõrje kustutusvee veevõtukohtade rajamiseks. Veevõtukoha minimaalne kaugus tuulikust on 3 km. </w:t>
      </w:r>
    </w:p>
    <w:p w14:paraId="28BFBB0E" w14:textId="77777777" w:rsidR="00830690" w:rsidRDefault="00830690" w:rsidP="00830690">
      <w:pPr>
        <w:spacing w:after="120"/>
        <w:mirrorIndents/>
        <w:jc w:val="both"/>
      </w:pPr>
      <w:r>
        <w:t xml:space="preserve">EPga on arvutatud tuulepargi ümber müra leviku alad – normtasemete piirkonnad tööstusmüra öise sihtväärtuse alusel. Müra normtasemete piirkonnad jagunevad kolmeks: ala, millele ei saa kavandada I kategoora vaikseid ja virgestuseks mõeldud alasid (&gt;35 dB); ala, millele ei saa kavandada I ja lisaks II kategooria haridusasutusi, tervishoiu- ja sotsiaalhoolekandeasutusi, elamu maa-alasid ja rohealasid (&gt;40 dB); ala, millele ei saa kavandada I, II ja lisaks ka III ning IV kategooria keskuse maa-alasid ja ühiskondlike hoonete maa-alasid (&gt;45 dB). See tähendab, et tuulepargist kahele lähimale piirkonnale ei saa edaspidi ehitada nt elamuid, rohealasid ja virgestusrajatiste ehitamine on võimalik väljaspool I mürakategooria välistatu ala. Planeeringust huvitatud isik peab projekteerimisel ja ehitamisel tagama, et normtasemete piirkondades müra sihtväärtust ei ületata. </w:t>
      </w:r>
    </w:p>
    <w:p w14:paraId="5E77D170" w14:textId="77777777" w:rsidR="00830690" w:rsidRDefault="00830690" w:rsidP="00830690">
      <w:pPr>
        <w:spacing w:after="120"/>
        <w:mirrorIndents/>
        <w:jc w:val="both"/>
      </w:pPr>
      <w:r>
        <w:t>Tuginedes KSHs määratud tingimustele on EPs seatud tingimused tuulepargi edasiseks projekteerimiseks, et vähendada varjutusega seonduvat mõju, visuaalset mõju ja mõju taimestikule, linnustikule, nahkhiirtele, ökosüsteemidele, rohevõrgustikule, veestikule, pinnasele ja huumusele, kliimale, kultuuriväärtustele ja sideteenustele. Planeeringus käsitletakse ka kliimakindluse tagamise, veekogu ehituskeeluvööndi ja jäätmetekke teemat.</w:t>
      </w:r>
    </w:p>
    <w:p w14:paraId="35AAAF39" w14:textId="77777777" w:rsidR="00830690" w:rsidRDefault="00830690" w:rsidP="00830690">
      <w:pPr>
        <w:spacing w:after="120"/>
        <w:mirrorIndents/>
        <w:jc w:val="both"/>
      </w:pPr>
      <w:r>
        <w:lastRenderedPageBreak/>
        <w:t xml:space="preserve">KSH aruandega on välja selgitatud tuulepargi ehitamiseks sobilikud alad keskkonnamõjudest </w:t>
      </w:r>
      <w:r w:rsidRPr="00E45CE8">
        <w:t>lähtuvalt. KSH aruande 4. peatükis on analüüsitud tuulikute ja tuulepargi sisese taristu eeldatavalt kaasnevat keskkonnamõju. Eeldatavalt kaasnevat mõju on hinnatud looduskeskkonnale (taimestikule, linnustikule, nahkhiirtele, ökosüsteemide seisundile ja bioloogilisele</w:t>
      </w:r>
      <w:r>
        <w:t xml:space="preserve"> mitmekesisusele, rohevõrgustikule, sh loomade elupaikade sidususele, metsloomadele, kaitsealadele, veestikule, pinnasele, sh väärtuslikele põllumajandusmaadele), kliimale, kultuuripärandile, olemasolevale taristule, inimese tervisele, heaolule ja varale ning maastikule. </w:t>
      </w:r>
    </w:p>
    <w:p w14:paraId="47F2A7B9" w14:textId="7010E902" w:rsidR="004A6622" w:rsidRPr="00223631" w:rsidRDefault="00830690" w:rsidP="00830690">
      <w:pPr>
        <w:mirrorIndents/>
        <w:jc w:val="both"/>
      </w:pPr>
      <w:r w:rsidRPr="00C22B62">
        <w:t xml:space="preserve">EP ja KSH sisuga arvestades võib kinnitada, et tuulepargi, sh tuulikute püstitamiseks on kõige sobivamad alad TU2, TU3 ja TU4. Tuulikute asukohad, püstitamise üldised tingimused, asukoha eelvaliku protsess, selle alusel tehtud otsus ja keskkonnamõju strateegilise hindamise esimese etapi aruanne vastavad kehtivatele õigusaktidele. Samuti on keskkonnamõju strateegilise hindamise esimese etapi aruandes esitatud teave olnud piisav erinevate kaalutud asukohtade vahel valiku tegemiseks. Planeeringu lahendus annab veendumuse, </w:t>
      </w:r>
      <w:r w:rsidRPr="00C22B62">
        <w:rPr>
          <w:rFonts w:eastAsia="Times New Roman" w:cs="Times New Roman"/>
          <w:szCs w:val="24"/>
        </w:rPr>
        <w:t>et määratud tingimuste, sealhulgas leevendus- ja seiremeetmete järgimisel on planeering elluviidav.</w:t>
      </w:r>
    </w:p>
    <w:p w14:paraId="3C84DB92" w14:textId="6B9C9951" w:rsidR="001D0725" w:rsidRDefault="00A75EC5" w:rsidP="001D0725">
      <w:pPr>
        <w:pStyle w:val="Lputervitus"/>
      </w:pPr>
      <w:r>
        <w:t>Lugupidamisega</w:t>
      </w:r>
    </w:p>
    <w:p w14:paraId="4FE84E60" w14:textId="77777777" w:rsidR="00405421" w:rsidRDefault="00405421" w:rsidP="00405421">
      <w:pPr>
        <w:pStyle w:val="aallkirjastatuddigitaalselt"/>
      </w:pPr>
      <w:r>
        <w:t xml:space="preserve">/allkirjastatud digitaalselt/ </w:t>
      </w:r>
    </w:p>
    <w:p w14:paraId="1E1386A7" w14:textId="53F1C706" w:rsidR="00BA798E" w:rsidRDefault="008819FE" w:rsidP="00A14893">
      <w:pPr>
        <w:pStyle w:val="Allkirjastajanimi"/>
      </w:pPr>
      <w:r>
        <w:t>Monika Rogenbaum</w:t>
      </w:r>
    </w:p>
    <w:p w14:paraId="15C4412A" w14:textId="14DCCF41" w:rsidR="00B2178A" w:rsidRPr="00B2178A" w:rsidRDefault="00C00CD8" w:rsidP="004A6622">
      <w:pPr>
        <w:pStyle w:val="Ametinimetus"/>
      </w:pPr>
      <w:r w:rsidRPr="003B40AD">
        <w:rPr>
          <w:noProof/>
        </w:rPr>
        <mc:AlternateContent>
          <mc:Choice Requires="wps">
            <w:drawing>
              <wp:anchor distT="0" distB="0" distL="114300" distR="114300" simplePos="0" relativeHeight="251659264" behindDoc="0" locked="1" layoutInCell="1" allowOverlap="0" wp14:anchorId="3C4B187C" wp14:editId="3CAF9826">
                <wp:simplePos x="0" y="0"/>
                <wp:positionH relativeFrom="margin">
                  <wp:align>left</wp:align>
                </wp:positionH>
                <wp:positionV relativeFrom="margin">
                  <wp:align>bottom</wp:align>
                </wp:positionV>
                <wp:extent cx="2919095" cy="588010"/>
                <wp:effectExtent l="0" t="0" r="0" b="2540"/>
                <wp:wrapTopAndBottom/>
                <wp:docPr id="3" name="Tekstiväli 3"/>
                <wp:cNvGraphicFramePr/>
                <a:graphic xmlns:a="http://schemas.openxmlformats.org/drawingml/2006/main">
                  <a:graphicData uri="http://schemas.microsoft.com/office/word/2010/wordprocessingShape">
                    <wps:wsp>
                      <wps:cNvSpPr txBox="1"/>
                      <wps:spPr>
                        <a:xfrm>
                          <a:off x="0" y="0"/>
                          <a:ext cx="2919095" cy="588010"/>
                        </a:xfrm>
                        <a:prstGeom prst="rect">
                          <a:avLst/>
                        </a:prstGeom>
                        <a:solidFill>
                          <a:schemeClr val="lt1"/>
                        </a:solidFill>
                        <a:ln w="6350">
                          <a:noFill/>
                        </a:ln>
                      </wps:spPr>
                      <wps:txbx>
                        <w:txbxContent>
                          <w:p w14:paraId="6A5AE523" w14:textId="0F4595EA" w:rsidR="00D83E53" w:rsidRPr="004D10D7" w:rsidRDefault="00A75EC5" w:rsidP="00D83E53">
                            <w:pPr>
                              <w:rPr>
                                <w:sz w:val="22"/>
                              </w:rPr>
                            </w:pPr>
                            <w:r w:rsidRPr="004D10D7">
                              <w:rPr>
                                <w:sz w:val="22"/>
                              </w:rPr>
                              <w:t>Lenna Hingla</w:t>
                            </w:r>
                          </w:p>
                          <w:p w14:paraId="3C1550AC" w14:textId="19C954EF" w:rsidR="00D83E53" w:rsidRPr="004D10D7" w:rsidRDefault="00A75EC5" w:rsidP="00D83E53">
                            <w:pPr>
                              <w:rPr>
                                <w:sz w:val="22"/>
                              </w:rPr>
                            </w:pPr>
                            <w:r w:rsidRPr="004D10D7">
                              <w:rPr>
                                <w:sz w:val="22"/>
                              </w:rPr>
                              <w:t>5860 1234</w:t>
                            </w:r>
                            <w:r w:rsidR="00582F54" w:rsidRPr="004D10D7">
                              <w:rPr>
                                <w:sz w:val="22"/>
                              </w:rPr>
                              <w:t xml:space="preserve"> </w:t>
                            </w:r>
                          </w:p>
                          <w:p w14:paraId="4CEC6EFB" w14:textId="669016B4" w:rsidR="00C00CD8" w:rsidRPr="004D10D7" w:rsidRDefault="00ED6020">
                            <w:pPr>
                              <w:rPr>
                                <w:sz w:val="22"/>
                              </w:rPr>
                            </w:pPr>
                            <w:r w:rsidRPr="004D10D7">
                              <w:rPr>
                                <w:sz w:val="22"/>
                              </w:rPr>
                              <w:t>l</w:t>
                            </w:r>
                            <w:r w:rsidR="00A75EC5" w:rsidRPr="004D10D7">
                              <w:rPr>
                                <w:sz w:val="22"/>
                              </w:rPr>
                              <w:t>enna.hingla</w:t>
                            </w:r>
                            <w:r w:rsidR="00D83E53" w:rsidRPr="004D10D7">
                              <w:rPr>
                                <w:sz w:val="22"/>
                              </w:rPr>
                              <w:t xml:space="preserve">@valga.ee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B187C" id="_x0000_t202" coordsize="21600,21600" o:spt="202" path="m,l,21600r21600,l21600,xe">
                <v:stroke joinstyle="miter"/>
                <v:path gradientshapeok="t" o:connecttype="rect"/>
              </v:shapetype>
              <v:shape id="Tekstiväli 3" o:spid="_x0000_s1026" type="#_x0000_t202" style="position:absolute;margin-left:0;margin-top:0;width:229.85pt;height:46.3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DLQIAAFAEAAAOAAAAZHJzL2Uyb0RvYy54bWysVFFv2jAQfp+0/2D5fSRQ6CAiVIyKaRJq&#10;K9Gqz8axSSTH59mGhP36nZ0AbbenaS/One/8+b67z5nftbUiR2FdBTqnw0FKidAcikrvc/ryvP4y&#10;pcR5pgumQIucnoSjd4vPn+aNycQISlCFsARBtMsak9PSe5MlieOlqJkbgBEagxJszTy6dp8UljWI&#10;XqtklKa3SQO2MBa4cA5377sgXUR8KQX3j1I64YnKKdbm42rjugtrspizbG+ZKSvel8H+oYqaVRov&#10;vUDdM8/IwVZ/QNUVt+BA+gGHOgEpKy4iB2QzTD+w2ZbMiMgFm+PMpU3u/8Hyh+PWPFni22/Q4gBD&#10;QxrjMoebgU8rbR2+WCnBOLbwdGmbaD3huDmaDWfpbEIJx9hkOkUiASa5njbW+e8CahKMnFocS+wW&#10;O26c71LPKeEyB6oq1pVS0QlSECtlyZHhEJWPNSL4uyylSZPT25tJGoE1hOMdstJYy5VTsHy7a3ui&#10;OyhOyN9CJw1n+LrCIjfM+SdmUQtIGfXtH3GRCvAS6C1KSrC//rYf8nFEGKWkQW3l1P08MCsoUT80&#10;Di8IMRrjydcROjY6s+F4jM7ubUQf6hUg6yG+IsOjGfK9OpvSQv2KT2AZbsQQ0xzvzak/myvfqR2f&#10;EBfLZUxC6RnmN3preIAOXQ7tf25fmTX9jDxO9wHOCmTZh1F1ueGkhuXBg6ziHENzu472PUfZRiX0&#10;Tyy8i7d+zLr+CBa/AQAA//8DAFBLAwQUAAYACAAAACEAJMpe29oAAAAEAQAADwAAAGRycy9kb3du&#10;cmV2LnhtbEyPwU7DMBBE70j9B2srcaMOFRSSxqkqKuiZwoXbNt46EfE6xHYb+vU1XOCy0mhGM2/L&#10;1Wg7caTBt44V3M4yEMS10y0bBe9vzzePIHxA1tg5JgXf5GFVTa5KLLQ78Ssdd8GIVMK+QAVNCH0h&#10;pa8bsuhnridO3sENFkOSg5F6wFMqt52cZ9lCWmw5LTTY01ND9ecuWgUfeYi1My9bm+HX2uDmHLdx&#10;o9T1dFwvQQQaw18YfvATOlSJae8iay86BemR8HuTd3efP4DYK8jnC5BVKf/DVxcAAAD//wMAUEsB&#10;Ai0AFAAGAAgAAAAhALaDOJL+AAAA4QEAABMAAAAAAAAAAAAAAAAAAAAAAFtDb250ZW50X1R5cGVz&#10;XS54bWxQSwECLQAUAAYACAAAACEAOP0h/9YAAACUAQAACwAAAAAAAAAAAAAAAAAvAQAAX3JlbHMv&#10;LnJlbHNQSwECLQAUAAYACAAAACEAoPiVgy0CAABQBAAADgAAAAAAAAAAAAAAAAAuAgAAZHJzL2Uy&#10;b0RvYy54bWxQSwECLQAUAAYACAAAACEAJMpe29oAAAAEAQAADwAAAAAAAAAAAAAAAACHBAAAZHJz&#10;L2Rvd25yZXYueG1sUEsFBgAAAAAEAAQA8wAAAI4FAAAAAA==&#10;" o:allowoverlap="f" fillcolor="white [3201]" stroked="f" strokeweight=".5pt">
                <v:textbox inset="0">
                  <w:txbxContent>
                    <w:p w14:paraId="6A5AE523" w14:textId="0F4595EA" w:rsidR="00D83E53" w:rsidRPr="004D10D7" w:rsidRDefault="00A75EC5" w:rsidP="00D83E53">
                      <w:pPr>
                        <w:rPr>
                          <w:sz w:val="22"/>
                        </w:rPr>
                      </w:pPr>
                      <w:r w:rsidRPr="004D10D7">
                        <w:rPr>
                          <w:sz w:val="22"/>
                        </w:rPr>
                        <w:t>Lenna Hingla</w:t>
                      </w:r>
                    </w:p>
                    <w:p w14:paraId="3C1550AC" w14:textId="19C954EF" w:rsidR="00D83E53" w:rsidRPr="004D10D7" w:rsidRDefault="00A75EC5" w:rsidP="00D83E53">
                      <w:pPr>
                        <w:rPr>
                          <w:sz w:val="22"/>
                        </w:rPr>
                      </w:pPr>
                      <w:r w:rsidRPr="004D10D7">
                        <w:rPr>
                          <w:sz w:val="22"/>
                        </w:rPr>
                        <w:t>5860 1234</w:t>
                      </w:r>
                      <w:r w:rsidR="00582F54" w:rsidRPr="004D10D7">
                        <w:rPr>
                          <w:sz w:val="22"/>
                        </w:rPr>
                        <w:t xml:space="preserve"> </w:t>
                      </w:r>
                    </w:p>
                    <w:p w14:paraId="4CEC6EFB" w14:textId="669016B4" w:rsidR="00C00CD8" w:rsidRPr="004D10D7" w:rsidRDefault="00ED6020">
                      <w:pPr>
                        <w:rPr>
                          <w:sz w:val="22"/>
                        </w:rPr>
                      </w:pPr>
                      <w:r w:rsidRPr="004D10D7">
                        <w:rPr>
                          <w:sz w:val="22"/>
                        </w:rPr>
                        <w:t>l</w:t>
                      </w:r>
                      <w:r w:rsidR="00A75EC5" w:rsidRPr="004D10D7">
                        <w:rPr>
                          <w:sz w:val="22"/>
                        </w:rPr>
                        <w:t>enna.hingla</w:t>
                      </w:r>
                      <w:r w:rsidR="00D83E53" w:rsidRPr="004D10D7">
                        <w:rPr>
                          <w:sz w:val="22"/>
                        </w:rPr>
                        <w:t xml:space="preserve">@valga.ee </w:t>
                      </w:r>
                    </w:p>
                  </w:txbxContent>
                </v:textbox>
                <w10:wrap type="topAndBottom" anchorx="margin" anchory="margin"/>
                <w10:anchorlock/>
              </v:shape>
            </w:pict>
          </mc:Fallback>
        </mc:AlternateContent>
      </w:r>
      <w:r w:rsidR="008819FE">
        <w:t>vallavanem</w:t>
      </w:r>
    </w:p>
    <w:sectPr w:rsidR="00B2178A" w:rsidRPr="00B2178A" w:rsidSect="00DC7CFC">
      <w:headerReference w:type="default" r:id="rId11"/>
      <w:footerReference w:type="default" r:id="rId12"/>
      <w:type w:val="continuous"/>
      <w:pgSz w:w="11906" w:h="16838"/>
      <w:pgMar w:top="680" w:right="851" w:bottom="68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C32D7" w14:textId="77777777" w:rsidR="00BE1907" w:rsidRDefault="00BE1907" w:rsidP="00ED156B">
      <w:r>
        <w:separator/>
      </w:r>
    </w:p>
  </w:endnote>
  <w:endnote w:type="continuationSeparator" w:id="0">
    <w:p w14:paraId="1C8A9E83" w14:textId="77777777" w:rsidR="00BE1907" w:rsidRDefault="00BE1907" w:rsidP="00E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EE3F5" w14:textId="16B4BF40" w:rsidR="00ED156B" w:rsidRPr="0061448A" w:rsidRDefault="00ED156B" w:rsidP="00ED156B">
    <w:pPr>
      <w:pStyle w:val="Jalus"/>
      <w:tabs>
        <w:tab w:val="left" w:pos="3360"/>
        <w:tab w:val="left" w:pos="6663"/>
      </w:tabs>
      <w:rPr>
        <w:color w:val="009900"/>
        <w:sz w:val="20"/>
        <w:szCs w:val="20"/>
      </w:rPr>
    </w:pPr>
    <w:r w:rsidRPr="0061448A">
      <w:rPr>
        <w:color w:val="009900"/>
        <w:sz w:val="20"/>
        <w:szCs w:val="20"/>
      </w:rPr>
      <w:t>Puiestee tn 8</w:t>
    </w:r>
    <w:r w:rsidRPr="0061448A">
      <w:rPr>
        <w:color w:val="009900"/>
        <w:sz w:val="20"/>
        <w:szCs w:val="20"/>
      </w:rPr>
      <w:tab/>
      <w:t>766 9900,</w:t>
    </w:r>
    <w:r w:rsidR="000C5390">
      <w:rPr>
        <w:color w:val="009900"/>
        <w:sz w:val="20"/>
        <w:szCs w:val="20"/>
      </w:rPr>
      <w:tab/>
    </w:r>
    <w:r w:rsidRPr="0061448A">
      <w:rPr>
        <w:color w:val="009900"/>
        <w:sz w:val="20"/>
        <w:szCs w:val="20"/>
      </w:rPr>
      <w:tab/>
      <w:t>ak EE491010202000577004</w:t>
    </w:r>
  </w:p>
  <w:p w14:paraId="7ACC14F4" w14:textId="77777777" w:rsidR="00ED156B" w:rsidRPr="0061448A" w:rsidRDefault="00ED156B" w:rsidP="00ED156B">
    <w:pPr>
      <w:pStyle w:val="Jalus"/>
      <w:tabs>
        <w:tab w:val="clear" w:pos="9072"/>
        <w:tab w:val="left" w:pos="0"/>
        <w:tab w:val="left" w:pos="3360"/>
        <w:tab w:val="left" w:pos="6663"/>
        <w:tab w:val="right" w:pos="9356"/>
      </w:tabs>
      <w:ind w:right="-710"/>
      <w:rPr>
        <w:color w:val="009900"/>
        <w:sz w:val="20"/>
        <w:szCs w:val="20"/>
      </w:rPr>
    </w:pPr>
    <w:r w:rsidRPr="0061448A">
      <w:rPr>
        <w:color w:val="009900"/>
        <w:sz w:val="20"/>
        <w:szCs w:val="20"/>
      </w:rPr>
      <w:t>68203 Valga</w:t>
    </w:r>
    <w:r w:rsidRPr="0061448A">
      <w:rPr>
        <w:color w:val="009900"/>
        <w:sz w:val="20"/>
        <w:szCs w:val="20"/>
      </w:rPr>
      <w:tab/>
    </w:r>
    <w:hyperlink r:id="rId1" w:history="1">
      <w:r w:rsidRPr="0061448A">
        <w:rPr>
          <w:color w:val="009900"/>
          <w:sz w:val="20"/>
          <w:szCs w:val="20"/>
        </w:rPr>
        <w:t>valga@valga.ee</w:t>
      </w:r>
    </w:hyperlink>
    <w:r w:rsidRPr="0061448A">
      <w:rPr>
        <w:color w:val="009900"/>
        <w:sz w:val="20"/>
        <w:szCs w:val="20"/>
      </w:rPr>
      <w:tab/>
      <w:t>SEB Pank AS</w:t>
    </w:r>
  </w:p>
  <w:p w14:paraId="024CC4AA" w14:textId="77777777" w:rsidR="00ED156B" w:rsidRPr="0061448A" w:rsidRDefault="00ED156B" w:rsidP="00ED156B">
    <w:pPr>
      <w:pStyle w:val="Jalus"/>
      <w:tabs>
        <w:tab w:val="left" w:pos="3360"/>
        <w:tab w:val="left" w:pos="6480"/>
        <w:tab w:val="right" w:pos="9356"/>
      </w:tabs>
      <w:ind w:right="114"/>
      <w:rPr>
        <w:color w:val="009900"/>
        <w:sz w:val="20"/>
        <w:szCs w:val="20"/>
      </w:rPr>
    </w:pPr>
    <w:r>
      <w:rPr>
        <w:color w:val="009900"/>
        <w:sz w:val="20"/>
        <w:szCs w:val="20"/>
      </w:rPr>
      <w:t>rg-kood</w:t>
    </w:r>
    <w:r w:rsidRPr="0061448A">
      <w:rPr>
        <w:color w:val="009900"/>
        <w:sz w:val="20"/>
        <w:szCs w:val="20"/>
      </w:rPr>
      <w:t xml:space="preserve"> 77000507</w:t>
    </w:r>
    <w:r w:rsidRPr="0061448A">
      <w:rPr>
        <w:color w:val="009900"/>
        <w:sz w:val="20"/>
        <w:szCs w:val="20"/>
      </w:rPr>
      <w:tab/>
      <w:t>www.valga.ee</w:t>
    </w:r>
    <w:r w:rsidRPr="0061448A">
      <w:rPr>
        <w:color w:val="009900"/>
        <w:sz w:val="20"/>
        <w:szCs w:val="20"/>
      </w:rPr>
      <w:tab/>
    </w:r>
  </w:p>
  <w:p w14:paraId="56215026" w14:textId="77777777" w:rsidR="00ED156B" w:rsidRPr="0035741C" w:rsidRDefault="00ED156B" w:rsidP="00ED156B">
    <w:pPr>
      <w:pStyle w:val="Jalus"/>
      <w:tabs>
        <w:tab w:val="left" w:pos="3360"/>
      </w:tabs>
      <w:rPr>
        <w:color w:val="008000"/>
        <w:sz w:val="22"/>
      </w:rPr>
    </w:pPr>
    <w:r w:rsidRPr="004B47A9">
      <w:rPr>
        <w:color w:val="008000"/>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500FD" w14:textId="77777777" w:rsidR="00C80346" w:rsidRPr="00C80346" w:rsidRDefault="00C80346" w:rsidP="00C8034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38FAE" w14:textId="77777777" w:rsidR="00BE1907" w:rsidRDefault="00BE1907" w:rsidP="00ED156B">
      <w:r>
        <w:separator/>
      </w:r>
    </w:p>
  </w:footnote>
  <w:footnote w:type="continuationSeparator" w:id="0">
    <w:p w14:paraId="7960C50A" w14:textId="77777777" w:rsidR="00BE1907" w:rsidRDefault="00BE1907" w:rsidP="00ED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663545"/>
      <w:docPartObj>
        <w:docPartGallery w:val="Page Numbers (Top of Page)"/>
        <w:docPartUnique/>
      </w:docPartObj>
    </w:sdtPr>
    <w:sdtEndPr/>
    <w:sdtContent>
      <w:p w14:paraId="1BE0F8EB" w14:textId="77777777" w:rsidR="00C80346" w:rsidRDefault="00C80346">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77D85"/>
    <w:multiLevelType w:val="hybridMultilevel"/>
    <w:tmpl w:val="43547A9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72267295"/>
    <w:multiLevelType w:val="hybridMultilevel"/>
    <w:tmpl w:val="28F6ACDC"/>
    <w:lvl w:ilvl="0" w:tplc="F348AAE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75299623">
    <w:abstractNumId w:val="0"/>
  </w:num>
  <w:num w:numId="2" w16cid:durableId="154536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CC"/>
    <w:rsid w:val="00004E85"/>
    <w:rsid w:val="00011FA3"/>
    <w:rsid w:val="0002142A"/>
    <w:rsid w:val="00023278"/>
    <w:rsid w:val="000257F5"/>
    <w:rsid w:val="00074F15"/>
    <w:rsid w:val="00090031"/>
    <w:rsid w:val="00090ED0"/>
    <w:rsid w:val="00096DE3"/>
    <w:rsid w:val="000A4896"/>
    <w:rsid w:val="000B1C8A"/>
    <w:rsid w:val="000C5390"/>
    <w:rsid w:val="000C7FC1"/>
    <w:rsid w:val="000F0EEC"/>
    <w:rsid w:val="000F2096"/>
    <w:rsid w:val="000F3226"/>
    <w:rsid w:val="001330C1"/>
    <w:rsid w:val="00153206"/>
    <w:rsid w:val="001732AC"/>
    <w:rsid w:val="00181AB9"/>
    <w:rsid w:val="0018334F"/>
    <w:rsid w:val="001C022F"/>
    <w:rsid w:val="001D0725"/>
    <w:rsid w:val="00200FEB"/>
    <w:rsid w:val="0021412E"/>
    <w:rsid w:val="00223631"/>
    <w:rsid w:val="00226E9D"/>
    <w:rsid w:val="00227F2F"/>
    <w:rsid w:val="002357B5"/>
    <w:rsid w:val="00236326"/>
    <w:rsid w:val="00251115"/>
    <w:rsid w:val="002561B6"/>
    <w:rsid w:val="002620EA"/>
    <w:rsid w:val="00273BE3"/>
    <w:rsid w:val="00282A5C"/>
    <w:rsid w:val="00283E09"/>
    <w:rsid w:val="0028652D"/>
    <w:rsid w:val="00286D85"/>
    <w:rsid w:val="002A1E80"/>
    <w:rsid w:val="002F1BD4"/>
    <w:rsid w:val="002F20AE"/>
    <w:rsid w:val="00305ECA"/>
    <w:rsid w:val="003320CC"/>
    <w:rsid w:val="00336810"/>
    <w:rsid w:val="00337918"/>
    <w:rsid w:val="003469D9"/>
    <w:rsid w:val="00357A20"/>
    <w:rsid w:val="0037544C"/>
    <w:rsid w:val="003820E7"/>
    <w:rsid w:val="00393F35"/>
    <w:rsid w:val="003A4B4E"/>
    <w:rsid w:val="003A5CAE"/>
    <w:rsid w:val="003B40AD"/>
    <w:rsid w:val="003C2B44"/>
    <w:rsid w:val="003E23D6"/>
    <w:rsid w:val="003E3AF0"/>
    <w:rsid w:val="003F4F06"/>
    <w:rsid w:val="00405421"/>
    <w:rsid w:val="0041064D"/>
    <w:rsid w:val="004114FC"/>
    <w:rsid w:val="0042186A"/>
    <w:rsid w:val="00437C39"/>
    <w:rsid w:val="00442038"/>
    <w:rsid w:val="00442408"/>
    <w:rsid w:val="00452435"/>
    <w:rsid w:val="00455D14"/>
    <w:rsid w:val="00463D29"/>
    <w:rsid w:val="00472C37"/>
    <w:rsid w:val="00493041"/>
    <w:rsid w:val="004A6622"/>
    <w:rsid w:val="004A6EA5"/>
    <w:rsid w:val="004D10D7"/>
    <w:rsid w:val="004E2C4F"/>
    <w:rsid w:val="00507330"/>
    <w:rsid w:val="005175F0"/>
    <w:rsid w:val="00525042"/>
    <w:rsid w:val="005355D5"/>
    <w:rsid w:val="005363D4"/>
    <w:rsid w:val="00552978"/>
    <w:rsid w:val="00582F54"/>
    <w:rsid w:val="0059173A"/>
    <w:rsid w:val="005C1F7C"/>
    <w:rsid w:val="005C3AE9"/>
    <w:rsid w:val="005D5534"/>
    <w:rsid w:val="005E2E5A"/>
    <w:rsid w:val="005F6B9A"/>
    <w:rsid w:val="00601B79"/>
    <w:rsid w:val="00611411"/>
    <w:rsid w:val="006167C2"/>
    <w:rsid w:val="00630E8E"/>
    <w:rsid w:val="00631C88"/>
    <w:rsid w:val="006539DE"/>
    <w:rsid w:val="00665C93"/>
    <w:rsid w:val="0066718F"/>
    <w:rsid w:val="00680661"/>
    <w:rsid w:val="00680C72"/>
    <w:rsid w:val="006B522A"/>
    <w:rsid w:val="006D5384"/>
    <w:rsid w:val="006D5E86"/>
    <w:rsid w:val="006D6693"/>
    <w:rsid w:val="006E45D2"/>
    <w:rsid w:val="006F3D9C"/>
    <w:rsid w:val="00703597"/>
    <w:rsid w:val="007078D7"/>
    <w:rsid w:val="00740D36"/>
    <w:rsid w:val="0074567A"/>
    <w:rsid w:val="0075032A"/>
    <w:rsid w:val="00756192"/>
    <w:rsid w:val="00780861"/>
    <w:rsid w:val="007A4893"/>
    <w:rsid w:val="007B0BA4"/>
    <w:rsid w:val="007B3E0C"/>
    <w:rsid w:val="007C0951"/>
    <w:rsid w:val="007C402D"/>
    <w:rsid w:val="007F4752"/>
    <w:rsid w:val="0081121A"/>
    <w:rsid w:val="00813089"/>
    <w:rsid w:val="00821FE7"/>
    <w:rsid w:val="00824A95"/>
    <w:rsid w:val="00830690"/>
    <w:rsid w:val="00830825"/>
    <w:rsid w:val="00832124"/>
    <w:rsid w:val="008340D5"/>
    <w:rsid w:val="00856AC9"/>
    <w:rsid w:val="00870480"/>
    <w:rsid w:val="008819FE"/>
    <w:rsid w:val="008A1319"/>
    <w:rsid w:val="008B2AFF"/>
    <w:rsid w:val="008C0569"/>
    <w:rsid w:val="008C7A60"/>
    <w:rsid w:val="008D1CAB"/>
    <w:rsid w:val="008E63ED"/>
    <w:rsid w:val="008E7E87"/>
    <w:rsid w:val="00903D25"/>
    <w:rsid w:val="00917F3C"/>
    <w:rsid w:val="009446C5"/>
    <w:rsid w:val="0095106D"/>
    <w:rsid w:val="00974F1D"/>
    <w:rsid w:val="0098573A"/>
    <w:rsid w:val="00985A5E"/>
    <w:rsid w:val="0099596A"/>
    <w:rsid w:val="009E0E40"/>
    <w:rsid w:val="00A01ECC"/>
    <w:rsid w:val="00A14893"/>
    <w:rsid w:val="00A737E1"/>
    <w:rsid w:val="00A75EC5"/>
    <w:rsid w:val="00A851EC"/>
    <w:rsid w:val="00A954B4"/>
    <w:rsid w:val="00AB2E72"/>
    <w:rsid w:val="00B14E8D"/>
    <w:rsid w:val="00B2178A"/>
    <w:rsid w:val="00B26B1A"/>
    <w:rsid w:val="00B35FC8"/>
    <w:rsid w:val="00B53CD7"/>
    <w:rsid w:val="00B5650C"/>
    <w:rsid w:val="00B72F02"/>
    <w:rsid w:val="00B74FAB"/>
    <w:rsid w:val="00B92A33"/>
    <w:rsid w:val="00B93730"/>
    <w:rsid w:val="00BA6D1B"/>
    <w:rsid w:val="00BA798E"/>
    <w:rsid w:val="00BB14C6"/>
    <w:rsid w:val="00BC3A58"/>
    <w:rsid w:val="00BD15A2"/>
    <w:rsid w:val="00BE1907"/>
    <w:rsid w:val="00BE2B20"/>
    <w:rsid w:val="00BE5EDE"/>
    <w:rsid w:val="00BF2A21"/>
    <w:rsid w:val="00C00CD8"/>
    <w:rsid w:val="00C02686"/>
    <w:rsid w:val="00C0296F"/>
    <w:rsid w:val="00C129E6"/>
    <w:rsid w:val="00C16DF3"/>
    <w:rsid w:val="00C27364"/>
    <w:rsid w:val="00C4248F"/>
    <w:rsid w:val="00C45B57"/>
    <w:rsid w:val="00C517EA"/>
    <w:rsid w:val="00C77128"/>
    <w:rsid w:val="00C80346"/>
    <w:rsid w:val="00C95785"/>
    <w:rsid w:val="00CA205C"/>
    <w:rsid w:val="00CC04F4"/>
    <w:rsid w:val="00CC39DB"/>
    <w:rsid w:val="00CE6782"/>
    <w:rsid w:val="00CF6A6A"/>
    <w:rsid w:val="00D065A4"/>
    <w:rsid w:val="00D11B1A"/>
    <w:rsid w:val="00D223C8"/>
    <w:rsid w:val="00D24370"/>
    <w:rsid w:val="00D3319E"/>
    <w:rsid w:val="00D4120C"/>
    <w:rsid w:val="00D63B1C"/>
    <w:rsid w:val="00D66826"/>
    <w:rsid w:val="00D83E53"/>
    <w:rsid w:val="00D86535"/>
    <w:rsid w:val="00D924A4"/>
    <w:rsid w:val="00D953B5"/>
    <w:rsid w:val="00DB4AAD"/>
    <w:rsid w:val="00DB4C08"/>
    <w:rsid w:val="00DB6E42"/>
    <w:rsid w:val="00DC00CC"/>
    <w:rsid w:val="00DC7CFC"/>
    <w:rsid w:val="00DE54CF"/>
    <w:rsid w:val="00DF3215"/>
    <w:rsid w:val="00E22788"/>
    <w:rsid w:val="00E27C7C"/>
    <w:rsid w:val="00E35218"/>
    <w:rsid w:val="00E35B13"/>
    <w:rsid w:val="00E436CA"/>
    <w:rsid w:val="00E76986"/>
    <w:rsid w:val="00E9189A"/>
    <w:rsid w:val="00E9595C"/>
    <w:rsid w:val="00EA7433"/>
    <w:rsid w:val="00EA7452"/>
    <w:rsid w:val="00EB7940"/>
    <w:rsid w:val="00EC7001"/>
    <w:rsid w:val="00ED156B"/>
    <w:rsid w:val="00ED5393"/>
    <w:rsid w:val="00ED5F61"/>
    <w:rsid w:val="00ED6020"/>
    <w:rsid w:val="00EF4DAC"/>
    <w:rsid w:val="00F00996"/>
    <w:rsid w:val="00F20D76"/>
    <w:rsid w:val="00F70FE5"/>
    <w:rsid w:val="00FA310C"/>
    <w:rsid w:val="00FB3D47"/>
    <w:rsid w:val="00FB5C07"/>
    <w:rsid w:val="00FC71AE"/>
    <w:rsid w:val="00FD1177"/>
    <w:rsid w:val="00FD19E0"/>
    <w:rsid w:val="00FD79B1"/>
    <w:rsid w:val="00FF03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5DC"/>
  <w15:chartTrackingRefBased/>
  <w15:docId w15:val="{AAA7AD25-317D-43FC-99DC-AAAA7538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63ED"/>
    <w:pPr>
      <w:spacing w:after="0" w:line="240" w:lineRule="auto"/>
    </w:pPr>
  </w:style>
  <w:style w:type="paragraph" w:styleId="Pealkiri1">
    <w:name w:val="heading 1"/>
    <w:basedOn w:val="Normaallaad"/>
    <w:next w:val="Normaallaad"/>
    <w:link w:val="Pealkiri1Mrk"/>
    <w:uiPriority w:val="99"/>
    <w:qFormat/>
    <w:rsid w:val="003F4F06"/>
    <w:pPr>
      <w:keepNext/>
      <w:jc w:val="center"/>
      <w:outlineLvl w:val="0"/>
    </w:pPr>
    <w:rPr>
      <w:rFonts w:eastAsia="Times New Roman" w:cs="Times New Roman"/>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D156B"/>
    <w:pPr>
      <w:tabs>
        <w:tab w:val="center" w:pos="4536"/>
        <w:tab w:val="right" w:pos="9072"/>
      </w:tabs>
    </w:pPr>
  </w:style>
  <w:style w:type="character" w:customStyle="1" w:styleId="PisMrk">
    <w:name w:val="Päis Märk"/>
    <w:basedOn w:val="Liguvaikefont"/>
    <w:link w:val="Pis"/>
    <w:uiPriority w:val="99"/>
    <w:rsid w:val="00ED156B"/>
  </w:style>
  <w:style w:type="paragraph" w:styleId="Jalus">
    <w:name w:val="footer"/>
    <w:basedOn w:val="Normaallaad"/>
    <w:link w:val="JalusMrk"/>
    <w:uiPriority w:val="99"/>
    <w:unhideWhenUsed/>
    <w:rsid w:val="00ED156B"/>
    <w:pPr>
      <w:tabs>
        <w:tab w:val="center" w:pos="4536"/>
        <w:tab w:val="right" w:pos="9072"/>
      </w:tabs>
    </w:pPr>
  </w:style>
  <w:style w:type="character" w:customStyle="1" w:styleId="JalusMrk">
    <w:name w:val="Jalus Märk"/>
    <w:basedOn w:val="Liguvaikefont"/>
    <w:link w:val="Jalus"/>
    <w:uiPriority w:val="99"/>
    <w:rsid w:val="00ED156B"/>
  </w:style>
  <w:style w:type="paragraph" w:customStyle="1" w:styleId="Adressaat">
    <w:name w:val="Adressaat"/>
    <w:basedOn w:val="Normaallaad"/>
    <w:link w:val="AdressaatMrk"/>
    <w:qFormat/>
    <w:rsid w:val="005363D4"/>
    <w:pPr>
      <w:spacing w:before="1200"/>
    </w:pPr>
  </w:style>
  <w:style w:type="paragraph" w:customStyle="1" w:styleId="Adredaat">
    <w:name w:val="Adredaat"/>
    <w:basedOn w:val="Adressaat"/>
    <w:link w:val="AdredaatMrk"/>
    <w:rsid w:val="000F2096"/>
  </w:style>
  <w:style w:type="character" w:customStyle="1" w:styleId="AdressaatMrk">
    <w:name w:val="Adressaat Märk"/>
    <w:basedOn w:val="Liguvaikefont"/>
    <w:link w:val="Adressaat"/>
    <w:rsid w:val="005363D4"/>
  </w:style>
  <w:style w:type="paragraph" w:customStyle="1" w:styleId="adressaat0">
    <w:name w:val="adressaat"/>
    <w:basedOn w:val="Adredaat"/>
    <w:link w:val="adressaatMrk0"/>
    <w:rsid w:val="00CF6A6A"/>
  </w:style>
  <w:style w:type="character" w:customStyle="1" w:styleId="AdredaatMrk">
    <w:name w:val="Adredaat Märk"/>
    <w:basedOn w:val="AdressaatMrk"/>
    <w:link w:val="Adredaat"/>
    <w:rsid w:val="000F2096"/>
  </w:style>
  <w:style w:type="paragraph" w:customStyle="1" w:styleId="Asutus">
    <w:name w:val="Asutus"/>
    <w:basedOn w:val="Normaallaad"/>
    <w:link w:val="AsutusMrk"/>
    <w:qFormat/>
    <w:rsid w:val="00CF6A6A"/>
  </w:style>
  <w:style w:type="character" w:customStyle="1" w:styleId="adressaatMrk0">
    <w:name w:val="adressaat Märk"/>
    <w:basedOn w:val="AdredaatMrk"/>
    <w:link w:val="adressaat0"/>
    <w:rsid w:val="00CF6A6A"/>
  </w:style>
  <w:style w:type="paragraph" w:customStyle="1" w:styleId="Aadress">
    <w:name w:val="Aadress"/>
    <w:basedOn w:val="Normaallaad"/>
    <w:link w:val="AadressMrk"/>
    <w:qFormat/>
    <w:rsid w:val="00CF6A6A"/>
  </w:style>
  <w:style w:type="character" w:customStyle="1" w:styleId="AsutusMrk">
    <w:name w:val="Asutus Märk"/>
    <w:basedOn w:val="Liguvaikefont"/>
    <w:link w:val="Asutus"/>
    <w:rsid w:val="00CF6A6A"/>
  </w:style>
  <w:style w:type="paragraph" w:customStyle="1" w:styleId="IndeksLinnaMaakond">
    <w:name w:val="Indeks Linna/Maakond"/>
    <w:basedOn w:val="Aadress"/>
    <w:link w:val="IndeksLinnaMaakondMrk"/>
    <w:qFormat/>
    <w:rsid w:val="00CF6A6A"/>
  </w:style>
  <w:style w:type="character" w:customStyle="1" w:styleId="AadressMrk">
    <w:name w:val="Aadress Märk"/>
    <w:basedOn w:val="Liguvaikefont"/>
    <w:link w:val="Aadress"/>
    <w:rsid w:val="00CF6A6A"/>
  </w:style>
  <w:style w:type="paragraph" w:customStyle="1" w:styleId="PealkiriKIRI">
    <w:name w:val="PealkiriKIRI"/>
    <w:basedOn w:val="Normaallaad"/>
    <w:link w:val="PealkiriKIRIMrk"/>
    <w:qFormat/>
    <w:rsid w:val="00C16DF3"/>
    <w:pPr>
      <w:spacing w:before="960" w:after="720"/>
      <w:ind w:right="4309"/>
    </w:pPr>
  </w:style>
  <w:style w:type="character" w:customStyle="1" w:styleId="IndeksLinnaMaakondMrk">
    <w:name w:val="Indeks Linna/Maakond Märk"/>
    <w:basedOn w:val="AadressMrk"/>
    <w:link w:val="IndeksLinnaMaakond"/>
    <w:rsid w:val="00CF6A6A"/>
  </w:style>
  <w:style w:type="paragraph" w:customStyle="1" w:styleId="Prdumine">
    <w:name w:val="Pöördumine"/>
    <w:basedOn w:val="Kehatekst"/>
    <w:next w:val="Kehatekst"/>
    <w:link w:val="PrdumineMrk"/>
    <w:qFormat/>
    <w:rsid w:val="001D0725"/>
    <w:pPr>
      <w:spacing w:before="280" w:after="280"/>
    </w:pPr>
  </w:style>
  <w:style w:type="character" w:customStyle="1" w:styleId="PealkiriKIRIMrk">
    <w:name w:val="PealkiriKIRI Märk"/>
    <w:basedOn w:val="Liguvaikefont"/>
    <w:link w:val="PealkiriKIRI"/>
    <w:rsid w:val="00C16DF3"/>
  </w:style>
  <w:style w:type="paragraph" w:customStyle="1" w:styleId="Lputervitus">
    <w:name w:val="Lõputervitus"/>
    <w:basedOn w:val="Kehatekst"/>
    <w:link w:val="LputervitusMrk"/>
    <w:qFormat/>
    <w:rsid w:val="005363D4"/>
    <w:pPr>
      <w:spacing w:before="400" w:after="240"/>
    </w:pPr>
  </w:style>
  <w:style w:type="paragraph" w:styleId="Kehatekst">
    <w:name w:val="Body Text"/>
    <w:basedOn w:val="Normaallaad"/>
    <w:link w:val="KehatekstMrk"/>
    <w:uiPriority w:val="99"/>
    <w:semiHidden/>
    <w:unhideWhenUsed/>
    <w:rsid w:val="001D0725"/>
    <w:pPr>
      <w:spacing w:after="120"/>
    </w:pPr>
  </w:style>
  <w:style w:type="character" w:customStyle="1" w:styleId="KehatekstMrk">
    <w:name w:val="Kehatekst Märk"/>
    <w:basedOn w:val="Liguvaikefont"/>
    <w:link w:val="Kehatekst"/>
    <w:uiPriority w:val="99"/>
    <w:semiHidden/>
    <w:rsid w:val="001D0725"/>
  </w:style>
  <w:style w:type="character" w:customStyle="1" w:styleId="PrdumineMrk">
    <w:name w:val="Pöördumine Märk"/>
    <w:basedOn w:val="PealkiriKIRIMrk"/>
    <w:link w:val="Prdumine"/>
    <w:rsid w:val="005363D4"/>
  </w:style>
  <w:style w:type="paragraph" w:customStyle="1" w:styleId="aallkirjastatuddigitaalselt">
    <w:name w:val="aallkirjastatud digitaalselt"/>
    <w:basedOn w:val="Lputervitus"/>
    <w:link w:val="aallkirjastatuddigitaalseltMrk"/>
    <w:qFormat/>
    <w:rsid w:val="005363D4"/>
    <w:pPr>
      <w:spacing w:before="0"/>
    </w:pPr>
  </w:style>
  <w:style w:type="character" w:customStyle="1" w:styleId="LputervitusMrk">
    <w:name w:val="Lõputervitus Märk"/>
    <w:basedOn w:val="KehatekstMrk"/>
    <w:link w:val="Lputervitus"/>
    <w:rsid w:val="005363D4"/>
  </w:style>
  <w:style w:type="paragraph" w:customStyle="1" w:styleId="Allkirjastajanimi">
    <w:name w:val="Allkirjastaja nimi"/>
    <w:basedOn w:val="Normaallaad"/>
    <w:link w:val="AllkirjastajanimiMrk"/>
    <w:qFormat/>
    <w:rsid w:val="005363D4"/>
  </w:style>
  <w:style w:type="character" w:customStyle="1" w:styleId="aallkirjastatuddigitaalseltMrk">
    <w:name w:val="aallkirjastatud digitaalselt Märk"/>
    <w:basedOn w:val="LputervitusMrk"/>
    <w:link w:val="aallkirjastatuddigitaalselt"/>
    <w:rsid w:val="005363D4"/>
  </w:style>
  <w:style w:type="character" w:customStyle="1" w:styleId="AllkirjastajanimiMrk">
    <w:name w:val="Allkirjastaja nimi Märk"/>
    <w:basedOn w:val="Liguvaikefont"/>
    <w:link w:val="Allkirjastajanimi"/>
    <w:rsid w:val="005363D4"/>
  </w:style>
  <w:style w:type="paragraph" w:customStyle="1" w:styleId="Ametinimetus">
    <w:name w:val="Ametinimetus"/>
    <w:basedOn w:val="Normaallaad"/>
    <w:link w:val="AmetinimetusMrk"/>
    <w:qFormat/>
    <w:rsid w:val="003B40AD"/>
    <w:pPr>
      <w:spacing w:after="600"/>
    </w:pPr>
  </w:style>
  <w:style w:type="paragraph" w:customStyle="1" w:styleId="Lisa">
    <w:name w:val="Lisa"/>
    <w:basedOn w:val="Ametinimetus"/>
    <w:next w:val="Kehatekst"/>
    <w:link w:val="LisaMrk"/>
    <w:rsid w:val="00B2178A"/>
  </w:style>
  <w:style w:type="character" w:customStyle="1" w:styleId="AmetinimetusMrk">
    <w:name w:val="Ametinimetus Märk"/>
    <w:basedOn w:val="Liguvaikefont"/>
    <w:link w:val="Ametinimetus"/>
    <w:rsid w:val="003B40AD"/>
  </w:style>
  <w:style w:type="paragraph" w:styleId="Esireataandegakehatekst">
    <w:name w:val="Body Text First Indent"/>
    <w:basedOn w:val="Kehatekst"/>
    <w:link w:val="EsireataandegakehatekstMrk"/>
    <w:uiPriority w:val="99"/>
    <w:semiHidden/>
    <w:unhideWhenUsed/>
    <w:rsid w:val="003B40AD"/>
    <w:pPr>
      <w:spacing w:after="0"/>
      <w:ind w:firstLine="360"/>
    </w:pPr>
  </w:style>
  <w:style w:type="character" w:customStyle="1" w:styleId="EsireataandegakehatekstMrk">
    <w:name w:val="Esireataandega kehatekst Märk"/>
    <w:basedOn w:val="KehatekstMrk"/>
    <w:link w:val="Esireataandegakehatekst"/>
    <w:uiPriority w:val="99"/>
    <w:semiHidden/>
    <w:rsid w:val="003B40AD"/>
  </w:style>
  <w:style w:type="character" w:customStyle="1" w:styleId="LisaMrk">
    <w:name w:val="Lisa Märk"/>
    <w:basedOn w:val="EsireataandegakehatekstMrk"/>
    <w:link w:val="Lisa"/>
    <w:rsid w:val="00B2178A"/>
  </w:style>
  <w:style w:type="character" w:styleId="Kohatitetekst">
    <w:name w:val="Placeholder Text"/>
    <w:basedOn w:val="Liguvaikefont"/>
    <w:uiPriority w:val="99"/>
    <w:semiHidden/>
    <w:rsid w:val="00582F54"/>
    <w:rPr>
      <w:color w:val="808080"/>
    </w:rPr>
  </w:style>
  <w:style w:type="paragraph" w:customStyle="1" w:styleId="MrkMrk">
    <w:name w:val="Märk Märk"/>
    <w:basedOn w:val="Normaallaad"/>
    <w:uiPriority w:val="99"/>
    <w:rsid w:val="003F4F06"/>
    <w:pPr>
      <w:spacing w:after="160" w:line="240" w:lineRule="exact"/>
    </w:pPr>
    <w:rPr>
      <w:rFonts w:ascii="Tahoma" w:eastAsia="Times New Roman" w:hAnsi="Tahoma" w:cs="Tahoma"/>
      <w:sz w:val="20"/>
      <w:szCs w:val="20"/>
      <w:lang w:val="en-US"/>
    </w:rPr>
  </w:style>
  <w:style w:type="character" w:customStyle="1" w:styleId="Pealkiri1Mrk">
    <w:name w:val="Pealkiri 1 Märk"/>
    <w:basedOn w:val="Liguvaikefont"/>
    <w:link w:val="Pealkiri1"/>
    <w:uiPriority w:val="99"/>
    <w:rsid w:val="003F4F06"/>
    <w:rPr>
      <w:rFonts w:eastAsia="Times New Roman" w:cs="Times New Roman"/>
      <w:sz w:val="36"/>
      <w:szCs w:val="36"/>
    </w:rPr>
  </w:style>
  <w:style w:type="paragraph" w:customStyle="1" w:styleId="KIRJATEKST">
    <w:name w:val="KIRJA TEKST"/>
    <w:basedOn w:val="Kehatekst"/>
    <w:link w:val="KIRJATEKSTMrk"/>
    <w:qFormat/>
    <w:rsid w:val="00A851EC"/>
  </w:style>
  <w:style w:type="character" w:customStyle="1" w:styleId="KIRJATEKSTMrk">
    <w:name w:val="KIRJA TEKST Märk"/>
    <w:basedOn w:val="LputervitusMrk"/>
    <w:link w:val="KIRJATEKST"/>
    <w:rsid w:val="00A851EC"/>
  </w:style>
  <w:style w:type="paragraph" w:customStyle="1" w:styleId="LISA0">
    <w:name w:val="LISA"/>
    <w:basedOn w:val="Normaallaad"/>
    <w:next w:val="Kehatekst"/>
    <w:qFormat/>
    <w:rsid w:val="00B2178A"/>
  </w:style>
  <w:style w:type="character" w:styleId="Hperlink">
    <w:name w:val="Hyperlink"/>
    <w:basedOn w:val="Liguvaikefont"/>
    <w:uiPriority w:val="99"/>
    <w:unhideWhenUsed/>
    <w:rsid w:val="00A75EC5"/>
    <w:rPr>
      <w:color w:val="0563C1" w:themeColor="hyperlink"/>
      <w:u w:val="single"/>
    </w:rPr>
  </w:style>
  <w:style w:type="character" w:styleId="Lahendamatamainimine">
    <w:name w:val="Unresolved Mention"/>
    <w:basedOn w:val="Liguvaikefont"/>
    <w:uiPriority w:val="99"/>
    <w:semiHidden/>
    <w:unhideWhenUsed/>
    <w:rsid w:val="00A75EC5"/>
    <w:rPr>
      <w:color w:val="605E5C"/>
      <w:shd w:val="clear" w:color="auto" w:fill="E1DFDD"/>
    </w:rPr>
  </w:style>
  <w:style w:type="paragraph" w:styleId="Loendilik">
    <w:name w:val="List Paragraph"/>
    <w:basedOn w:val="Normaallaad"/>
    <w:uiPriority w:val="34"/>
    <w:qFormat/>
    <w:rsid w:val="00F20D76"/>
    <w:pPr>
      <w:spacing w:after="200" w:line="276" w:lineRule="auto"/>
      <w:ind w:left="720"/>
      <w:contextualSpacing/>
    </w:pPr>
    <w:rPr>
      <w:rFonts w:ascii="Calibri" w:eastAsia="Times New Roman" w:hAnsi="Calibri" w:cs="Times New Roman"/>
      <w:sz w:val="22"/>
    </w:rPr>
  </w:style>
  <w:style w:type="character" w:styleId="Kommentaariviide">
    <w:name w:val="annotation reference"/>
    <w:basedOn w:val="Liguvaikefont"/>
    <w:uiPriority w:val="99"/>
    <w:semiHidden/>
    <w:unhideWhenUsed/>
    <w:rsid w:val="00ED5393"/>
    <w:rPr>
      <w:sz w:val="16"/>
      <w:szCs w:val="16"/>
    </w:rPr>
  </w:style>
  <w:style w:type="paragraph" w:styleId="Kommentaaritekst">
    <w:name w:val="annotation text"/>
    <w:basedOn w:val="Normaallaad"/>
    <w:link w:val="KommentaaritekstMrk"/>
    <w:uiPriority w:val="99"/>
    <w:semiHidden/>
    <w:unhideWhenUsed/>
    <w:rsid w:val="00ED5393"/>
    <w:rPr>
      <w:sz w:val="20"/>
      <w:szCs w:val="20"/>
    </w:rPr>
  </w:style>
  <w:style w:type="character" w:customStyle="1" w:styleId="KommentaaritekstMrk">
    <w:name w:val="Kommentaari tekst Märk"/>
    <w:basedOn w:val="Liguvaikefont"/>
    <w:link w:val="Kommentaaritekst"/>
    <w:uiPriority w:val="99"/>
    <w:semiHidden/>
    <w:rsid w:val="00ED5393"/>
    <w:rPr>
      <w:sz w:val="20"/>
      <w:szCs w:val="20"/>
    </w:rPr>
  </w:style>
  <w:style w:type="paragraph" w:styleId="Kommentaariteema">
    <w:name w:val="annotation subject"/>
    <w:basedOn w:val="Kommentaaritekst"/>
    <w:next w:val="Kommentaaritekst"/>
    <w:link w:val="KommentaariteemaMrk"/>
    <w:uiPriority w:val="99"/>
    <w:semiHidden/>
    <w:unhideWhenUsed/>
    <w:rsid w:val="00ED5393"/>
    <w:rPr>
      <w:b/>
      <w:bCs/>
    </w:rPr>
  </w:style>
  <w:style w:type="character" w:customStyle="1" w:styleId="KommentaariteemaMrk">
    <w:name w:val="Kommentaari teema Märk"/>
    <w:basedOn w:val="KommentaaritekstMrk"/>
    <w:link w:val="Kommentaariteema"/>
    <w:uiPriority w:val="99"/>
    <w:semiHidden/>
    <w:rsid w:val="00ED5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alga.ee/tuulepargi-eriplaneer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alga@valga.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a\Documents\Kirja%20mallid\E-kirja%20mall%20Valga%20vallavalits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19C7-D515-45F3-8EDF-472075B8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E-kirja mall Valga vallavalitsus</Template>
  <TotalTime>298</TotalTime>
  <Pages>3</Pages>
  <Words>1168</Words>
  <Characters>6777</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7</cp:revision>
  <dcterms:created xsi:type="dcterms:W3CDTF">2024-11-18T10:01:00Z</dcterms:created>
  <dcterms:modified xsi:type="dcterms:W3CDTF">2024-11-25T13:46:00Z</dcterms:modified>
</cp:coreProperties>
</file>